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Borlänge kommunfullmäktige</w:t>
      </w:r>
    </w:p>
    <w:p>
      <w:pPr>
        <w:pStyle w:val="Heading1"/>
      </w:pPr>
      <w:r>
        <w:t xml:space="preserve">Snabbare handläggning för nya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Borlänge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Borlänges företagsklimat rankas lågt (plats 187, Svenskt Näringsliv 2024). Långa handläggningstider hämmar nyetableringar och jobb. Enklare regler kan öka tillväxten.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Borlänge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maxgräns på 15 arbetsdagar för bygglov och serveringstillstånd.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inrätta en företagslotsfunktion med en kontaktperson per ärende.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digitalisera samtliga tillståndsprocesser senast 2028.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handläggningstider i kommunens verksamhetsberättelse.</w:t>
      </w:r>
    </w:p>
    <w:p>
      <w:pPr>
        <w:spacing w:before="360"/>
      </w:pPr>
    </w:p>
    <w:p>
      <w:r>
        <w:t xml:space="preserve">Borlänge,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Borlänge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2026-07-14T02:29:55.563Z</dcterms:created>
  <dcterms:modified xsi:type="dcterms:W3CDTF">2026-07-14T02:29:55.563Z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